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5"/>
      </w:pPr>
      <w:r>
        <w:rPr>
          <w:sz w:val="24"/>
          <w:szCs w:val="24"/>
        </w:rPr>
        <w:t>СОВЕТ</w:t>
      </w:r>
    </w:p>
    <w:p>
      <w:pPr>
        <w:pStyle w:val="style26"/>
      </w:pPr>
      <w:r>
        <w:rPr>
          <w:szCs w:val="24"/>
        </w:rPr>
        <w:t>НОВОБУРАССКОГО МУНИЦИПАЛЬНОГО ОБРАЗОВАНИЯ</w:t>
      </w:r>
    </w:p>
    <w:p>
      <w:pPr>
        <w:pStyle w:val="style26"/>
      </w:pPr>
      <w:r>
        <w:rPr>
          <w:szCs w:val="24"/>
        </w:rPr>
        <w:t>НОВОБУРАССКОГО МУНИЦИПАЛЬНОГО РАЙОНА</w:t>
      </w:r>
    </w:p>
    <w:p>
      <w:pPr>
        <w:pStyle w:val="style26"/>
      </w:pPr>
      <w:r>
        <w:rPr>
          <w:szCs w:val="24"/>
        </w:rPr>
        <w:t>САРАТОВСКОЙ ОБЛАСТИ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2"/>
        <w:numPr>
          <w:ilvl w:val="1"/>
          <w:numId w:val="1"/>
        </w:numPr>
      </w:pPr>
      <w:r>
        <w:rPr>
          <w:sz w:val="24"/>
          <w:szCs w:val="24"/>
        </w:rPr>
        <w:t xml:space="preserve">РЕШЕНИЕ 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bCs/>
          <w:sz w:val="24"/>
          <w:szCs w:val="24"/>
        </w:rPr>
        <w:t>от  « 26 » ноября 2012 г. № 160____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sz w:val="24"/>
          <w:szCs w:val="24"/>
        </w:rPr>
        <w:t>О  проекте бюджета Новобурасского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 на 2013 год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  <w:t xml:space="preserve">          </w:t>
      </w:r>
      <w:r>
        <w:rPr>
          <w:rFonts w:ascii="Times New Roman" w:cs="Times New Roman" w:hAnsi="Times New Roman"/>
          <w:bCs/>
          <w:sz w:val="24"/>
          <w:szCs w:val="24"/>
        </w:rPr>
        <w:t>Руководствуясь статьей 20 Устава Новобурасского муниципального образования, Совет решил: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numPr>
          <w:ilvl w:val="0"/>
          <w:numId w:val="2"/>
        </w:numPr>
        <w:tabs>
          <w:tab w:leader="none" w:pos="0" w:val="left"/>
        </w:tabs>
        <w:overflowPunct w:val="true"/>
        <w:spacing w:after="0" w:before="0" w:line="100" w:lineRule="atLeast"/>
        <w:ind w:hanging="0" w:left="0" w:right="0"/>
        <w:jc w:val="both"/>
        <w:textAlignment w:val="baseline"/>
      </w:pPr>
      <w:r>
        <w:rPr>
          <w:rFonts w:ascii="Times New Roman" w:cs="Times New Roman" w:hAnsi="Times New Roman"/>
          <w:bCs/>
          <w:sz w:val="24"/>
          <w:szCs w:val="24"/>
        </w:rPr>
        <w:t>Принять проект бюджета Новобурасского муниципального образования на 2013 год к рассмотрению согласно Приложению.</w:t>
      </w:r>
    </w:p>
    <w:p>
      <w:pPr>
        <w:pStyle w:val="style0"/>
        <w:numPr>
          <w:ilvl w:val="0"/>
          <w:numId w:val="2"/>
        </w:numPr>
        <w:tabs>
          <w:tab w:leader="none" w:pos="0" w:val="left"/>
        </w:tabs>
        <w:overflowPunct w:val="true"/>
        <w:spacing w:after="0" w:before="0" w:line="100" w:lineRule="atLeast"/>
        <w:ind w:hanging="0" w:left="0" w:right="0"/>
        <w:jc w:val="both"/>
        <w:textAlignment w:val="baseline"/>
      </w:pPr>
      <w:r>
        <w:rPr>
          <w:rFonts w:ascii="Times New Roman" w:cs="Times New Roman" w:hAnsi="Times New Roman"/>
          <w:bCs/>
          <w:sz w:val="24"/>
          <w:szCs w:val="24"/>
        </w:rPr>
        <w:t xml:space="preserve">Провести публичные слушания по проекту бюджета Новобурасского муниципального образования на 2013 год 11 декабря 2012 года в 15.00 в здании администрации Новобурасского муниципального образования, расположенное  по адресу: </w:t>
      </w:r>
      <w:r>
        <w:rPr>
          <w:rFonts w:ascii="Times New Roman" w:cs="Times New Roman" w:hAnsi="Times New Roman"/>
          <w:sz w:val="24"/>
          <w:szCs w:val="24"/>
        </w:rPr>
        <w:t xml:space="preserve">412580, Саратовская область, Новобурасский район, </w:t>
      </w:r>
      <w:r>
        <w:rPr>
          <w:rFonts w:ascii="Times New Roman" w:cs="Times New Roman" w:hAnsi="Times New Roman"/>
          <w:bCs/>
          <w:sz w:val="24"/>
          <w:szCs w:val="24"/>
        </w:rPr>
        <w:t>р.п. Новые Бурасы, ул. Баумана, 35 (здание районной библиотеки).</w:t>
      </w:r>
    </w:p>
    <w:p>
      <w:pPr>
        <w:pStyle w:val="style0"/>
        <w:numPr>
          <w:ilvl w:val="0"/>
          <w:numId w:val="2"/>
        </w:numPr>
        <w:tabs>
          <w:tab w:leader="none" w:pos="0" w:val="left"/>
        </w:tabs>
        <w:overflowPunct w:val="true"/>
        <w:spacing w:after="0" w:before="0" w:line="100" w:lineRule="atLeast"/>
        <w:ind w:hanging="0" w:left="0" w:right="0"/>
        <w:jc w:val="both"/>
        <w:textAlignment w:val="baseline"/>
      </w:pPr>
      <w:r>
        <w:rPr>
          <w:rFonts w:ascii="Times New Roman" w:cs="Times New Roman" w:hAnsi="Times New Roman"/>
          <w:sz w:val="24"/>
          <w:szCs w:val="24"/>
        </w:rPr>
        <w:t xml:space="preserve">Обнародовать проект бюджета </w:t>
      </w:r>
      <w:r>
        <w:rPr>
          <w:rFonts w:ascii="Times New Roman" w:cs="Times New Roman" w:hAnsi="Times New Roman"/>
          <w:bCs/>
          <w:sz w:val="24"/>
          <w:szCs w:val="24"/>
        </w:rPr>
        <w:t xml:space="preserve">Новобурасского муниципального образования на 2013 год </w:t>
      </w:r>
      <w:r>
        <w:rPr>
          <w:rFonts w:ascii="Times New Roman" w:cs="Times New Roman" w:hAnsi="Times New Roman"/>
          <w:sz w:val="24"/>
          <w:szCs w:val="24"/>
        </w:rPr>
        <w:t>в специально оборудованных для обнародования местах, утвержденных Решением Совета Новобурасского муниципального образования от 10.06.2009 года №30.</w:t>
      </w:r>
    </w:p>
    <w:p>
      <w:pPr>
        <w:pStyle w:val="style0"/>
        <w:numPr>
          <w:ilvl w:val="0"/>
          <w:numId w:val="2"/>
        </w:numPr>
        <w:tabs>
          <w:tab w:leader="none" w:pos="0" w:val="left"/>
        </w:tabs>
        <w:overflowPunct w:val="true"/>
        <w:spacing w:after="0" w:before="0" w:line="100" w:lineRule="atLeast"/>
        <w:ind w:hanging="0" w:left="0" w:right="0"/>
        <w:jc w:val="both"/>
        <w:textAlignment w:val="baseline"/>
      </w:pPr>
      <w:r>
        <w:rPr>
          <w:rFonts w:ascii="Times New Roman" w:cs="Times New Roman" w:hAnsi="Times New Roman"/>
          <w:bCs/>
          <w:sz w:val="24"/>
          <w:szCs w:val="24"/>
        </w:rPr>
        <w:t>Контроль за исполнением настоящего Решения возложить на комиссию Совета Новобурасского муниципального образования по бюджетно-финансовой политике.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  <w:t>Глава Новобурасского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  <w:t>муниципального образования                                                                   С.А. Брюзгин</w:t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27"/>
        <w:jc w:val="right"/>
      </w:pPr>
      <w:r>
        <w:rPr>
          <w:rFonts w:ascii="Times New Roman" w:cs="Times New Roman" w:hAnsi="Times New Roman"/>
          <w:sz w:val="24"/>
          <w:szCs w:val="24"/>
        </w:rPr>
        <w:t xml:space="preserve">Приложение </w:t>
      </w:r>
    </w:p>
    <w:p>
      <w:pPr>
        <w:pStyle w:val="style27"/>
        <w:jc w:val="right"/>
      </w:pPr>
      <w:r>
        <w:rPr>
          <w:rFonts w:ascii="Times New Roman" w:cs="Times New Roman" w:hAnsi="Times New Roman"/>
          <w:sz w:val="24"/>
          <w:szCs w:val="24"/>
        </w:rPr>
        <w:t xml:space="preserve">к решению Совета Новобурасского </w:t>
      </w:r>
    </w:p>
    <w:p>
      <w:pPr>
        <w:pStyle w:val="style27"/>
        <w:jc w:val="right"/>
      </w:pPr>
      <w:r>
        <w:rPr>
          <w:rFonts w:ascii="Times New Roman" w:cs="Times New Roman" w:hAnsi="Times New Roman"/>
          <w:sz w:val="24"/>
          <w:szCs w:val="24"/>
        </w:rPr>
        <w:t xml:space="preserve">муниципального образования </w:t>
      </w:r>
    </w:p>
    <w:p>
      <w:pPr>
        <w:pStyle w:val="style27"/>
        <w:jc w:val="right"/>
      </w:pPr>
      <w:r>
        <w:rPr>
          <w:rFonts w:ascii="Times New Roman" w:cs="Times New Roman" w:hAnsi="Times New Roman"/>
          <w:sz w:val="24"/>
          <w:szCs w:val="24"/>
        </w:rPr>
        <w:t>Новобурасского муниципального района</w:t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  <w:t>от «___»_________ г. №____</w:t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bCs/>
          <w:sz w:val="24"/>
          <w:szCs w:val="24"/>
        </w:rPr>
        <w:t>ПРОЕКТ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sz w:val="24"/>
          <w:szCs w:val="24"/>
        </w:rPr>
        <w:t>О  бюджете Новобурасского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 на 2013 год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21"/>
      </w:pPr>
      <w:r>
        <w:rPr>
          <w:b/>
          <w:i/>
          <w:szCs w:val="24"/>
        </w:rPr>
        <w:t>Статья 1. Основные характеристики бюджета муниципального образования на 2013 год</w:t>
      </w:r>
    </w:p>
    <w:p>
      <w:pPr>
        <w:pStyle w:val="style21"/>
      </w:pPr>
      <w:r>
        <w:rPr>
          <w:szCs w:val="24"/>
        </w:rPr>
        <w:t>1. Утвердить основные характеристики бюджета Новобурасского муниципального образования (далее –  бюджет поселения) на 2013 год:</w:t>
      </w:r>
    </w:p>
    <w:p>
      <w:pPr>
        <w:pStyle w:val="style21"/>
      </w:pPr>
      <w:r>
        <w:rPr>
          <w:szCs w:val="24"/>
        </w:rPr>
        <w:t>1) общий объем доходов в сумме 11141,9 тыс. рублей;</w:t>
      </w:r>
    </w:p>
    <w:p>
      <w:pPr>
        <w:pStyle w:val="style21"/>
      </w:pPr>
      <w:r>
        <w:rPr>
          <w:szCs w:val="24"/>
        </w:rPr>
        <w:t>2) общий объем расходов в сумме 11141,9 тыс. рублей.</w:t>
      </w:r>
    </w:p>
    <w:p>
      <w:pPr>
        <w:pStyle w:val="style21"/>
      </w:pPr>
      <w:r>
        <w:rPr>
          <w:bCs w:val="false"/>
          <w:szCs w:val="24"/>
        </w:rPr>
        <w:t>2. Установить верхний предел муниципального внутреннего долга по Новобурасскому муниципальному образованию по состоянию на 1 января 2014 года в размере 721,6 тыс. рублей.</w:t>
      </w:r>
    </w:p>
    <w:p>
      <w:pPr>
        <w:pStyle w:val="style21"/>
      </w:pPr>
      <w:r>
        <w:rPr>
          <w:b/>
          <w:szCs w:val="24"/>
        </w:rPr>
      </w:r>
    </w:p>
    <w:p>
      <w:pPr>
        <w:pStyle w:val="style21"/>
      </w:pPr>
      <w:r>
        <w:rPr>
          <w:b/>
          <w:i/>
          <w:szCs w:val="24"/>
        </w:rPr>
        <w:t>Статья 2. Безвозмездные поступления в бюджет  муниципального образования</w:t>
      </w:r>
    </w:p>
    <w:p>
      <w:pPr>
        <w:pStyle w:val="style21"/>
      </w:pPr>
      <w:r>
        <w:rPr>
          <w:szCs w:val="24"/>
        </w:rPr>
        <w:t>Утвердить безвозмездные поступления в  бюджет муниципального образования на 2013 год согласно приложению 1 к настоящему Решению.</w:t>
      </w:r>
    </w:p>
    <w:p>
      <w:pPr>
        <w:pStyle w:val="style21"/>
      </w:pPr>
      <w:r>
        <w:rPr>
          <w:szCs w:val="24"/>
        </w:rPr>
      </w:r>
    </w:p>
    <w:p>
      <w:pPr>
        <w:pStyle w:val="style21"/>
      </w:pPr>
      <w:r>
        <w:rPr>
          <w:b/>
          <w:i/>
          <w:szCs w:val="24"/>
        </w:rPr>
        <w:t>Статья 3. Главные администраторы доходов бюджета муниципального образования</w:t>
      </w:r>
    </w:p>
    <w:p>
      <w:pPr>
        <w:pStyle w:val="style21"/>
      </w:pPr>
      <w:r>
        <w:rPr>
          <w:szCs w:val="24"/>
        </w:rPr>
        <w:t>Утвердить на 2013 год перечень главных администраторов доходов бюджета поселения согласно приложению 2 к настоящему Решению.</w:t>
      </w:r>
    </w:p>
    <w:p>
      <w:pPr>
        <w:pStyle w:val="style21"/>
      </w:pPr>
      <w:r>
        <w:rPr>
          <w:b/>
          <w:i/>
          <w:szCs w:val="24"/>
        </w:rPr>
        <w:t>Статья 4. Зачисление в бюджет муниципального образования налогов и сборов</w:t>
      </w:r>
    </w:p>
    <w:p>
      <w:pPr>
        <w:pStyle w:val="style21"/>
      </w:pPr>
      <w:r>
        <w:rPr>
          <w:szCs w:val="24"/>
        </w:rPr>
        <w:t>В бюджет муниципального образования в 2013 году зачисляются:</w:t>
      </w:r>
    </w:p>
    <w:p>
      <w:pPr>
        <w:pStyle w:val="style21"/>
      </w:pPr>
      <w:r>
        <w:rPr>
          <w:szCs w:val="24"/>
        </w:rPr>
        <w:t>1. местные налоги;</w:t>
      </w:r>
    </w:p>
    <w:p>
      <w:pPr>
        <w:pStyle w:val="style21"/>
      </w:pPr>
      <w:r>
        <w:rPr>
          <w:szCs w:val="24"/>
        </w:rPr>
        <w:t xml:space="preserve">2. отчисления от федеральных и региональных налогов и сборов и неналоговые доходы по нормативам отчислений, установленным Бюджетным кодексом Российской Федерации, Федеральным законом «О федеральном бюджете на 2013 год», законом Саратовской области «Об областном бюджете на 2013 год».  </w:t>
      </w:r>
    </w:p>
    <w:p>
      <w:pPr>
        <w:pStyle w:val="style21"/>
      </w:pPr>
      <w:r>
        <w:rPr>
          <w:szCs w:val="24"/>
        </w:rPr>
      </w:r>
    </w:p>
    <w:p>
      <w:pPr>
        <w:pStyle w:val="style21"/>
      </w:pPr>
      <w:r>
        <w:rPr>
          <w:b/>
          <w:i/>
          <w:szCs w:val="24"/>
        </w:rPr>
        <w:t>Статья 5.</w:t>
      </w:r>
      <w:r>
        <w:rPr>
          <w:b/>
          <w:szCs w:val="24"/>
        </w:rPr>
        <w:t xml:space="preserve"> </w:t>
      </w:r>
      <w:r>
        <w:rPr>
          <w:b/>
          <w:i/>
          <w:szCs w:val="24"/>
        </w:rPr>
        <w:t xml:space="preserve">Межбюджетные трансферты, предоставляемые из  бюджета муниципального образования бюджету района </w:t>
      </w:r>
    </w:p>
    <w:p>
      <w:pPr>
        <w:pStyle w:val="style21"/>
      </w:pPr>
      <w:r>
        <w:rPr>
          <w:szCs w:val="24"/>
        </w:rPr>
        <w:t>1. Утвердить на 2013 год межбюджетные трансферты в объеме 4994,1 тыс. рублей, предоставляемые  из бюджета муниципального образования бюджету района, в следующих формах:</w:t>
      </w:r>
    </w:p>
    <w:p>
      <w:pPr>
        <w:pStyle w:val="style21"/>
      </w:pPr>
      <w:r>
        <w:rPr>
          <w:szCs w:val="24"/>
        </w:rPr>
        <w:t>1) Межбюджетные трансферты бюджетам муниципальных районов из бюджетов поселений в соответствии с заключенными договорами в сумме 462,2 тыс. рублей;</w:t>
      </w:r>
    </w:p>
    <w:p>
      <w:pPr>
        <w:pStyle w:val="style21"/>
      </w:pPr>
      <w:r>
        <w:rPr>
          <w:szCs w:val="24"/>
        </w:rPr>
        <w:t>2) Межбюджетные трансферты бюджетам муниципальных районов из бюджетов поселений на исполнение переданных полномочий в соответствии с заключенными соглашениями в сумме 4531,9 тыс. рублей.</w:t>
      </w:r>
    </w:p>
    <w:p>
      <w:pPr>
        <w:pStyle w:val="style21"/>
      </w:pPr>
      <w:r>
        <w:rPr>
          <w:szCs w:val="24"/>
        </w:rPr>
        <w:t>2. Администрацией муниципального образования устанавливается порядок предоставления межбюджетных трансфертов, предусмотренных пунктами 1-2 части 1 настоящей статьи.</w:t>
      </w:r>
    </w:p>
    <w:p>
      <w:pPr>
        <w:pStyle w:val="style21"/>
      </w:pPr>
      <w:r>
        <w:rPr>
          <w:szCs w:val="24"/>
        </w:rPr>
      </w:r>
    </w:p>
    <w:p>
      <w:pPr>
        <w:pStyle w:val="style21"/>
      </w:pPr>
      <w:r>
        <w:rPr>
          <w:b/>
          <w:i/>
          <w:szCs w:val="24"/>
        </w:rPr>
        <w:t>Статья 6. Нормативы распределения доходов бюджетами муниципальных образований</w:t>
      </w:r>
    </w:p>
    <w:p>
      <w:pPr>
        <w:pStyle w:val="style21"/>
      </w:pPr>
      <w:r>
        <w:rPr>
          <w:szCs w:val="24"/>
        </w:rPr>
        <w:t>Утвердить: нормативы распределения доходов  бюджетами  муниципальных образований  на 2013 год согласно приложению № 3 к настоящему Решению.</w:t>
      </w:r>
    </w:p>
    <w:p>
      <w:pPr>
        <w:pStyle w:val="style21"/>
      </w:pPr>
      <w:r>
        <w:rPr>
          <w:szCs w:val="24"/>
        </w:rPr>
      </w:r>
    </w:p>
    <w:p>
      <w:pPr>
        <w:pStyle w:val="style21"/>
      </w:pPr>
      <w:r>
        <w:rPr>
          <w:b/>
          <w:i/>
          <w:szCs w:val="24"/>
        </w:rPr>
        <w:t>Статья 7. Бюджетные ассигнования бюджета муниципального образования на 2013 год</w:t>
      </w:r>
    </w:p>
    <w:p>
      <w:pPr>
        <w:pStyle w:val="style21"/>
      </w:pPr>
      <w:r>
        <w:rPr>
          <w:szCs w:val="24"/>
        </w:rPr>
        <w:t>Утвердить:</w:t>
      </w:r>
    </w:p>
    <w:p>
      <w:pPr>
        <w:pStyle w:val="style21"/>
      </w:pPr>
      <w:r>
        <w:rPr>
          <w:szCs w:val="24"/>
        </w:rPr>
        <w:t>общий объем бюджетных ассигнований на исполнение публичных нормативных обязательств на 2013 год в сумме – 16,0 тыс. рублей;</w:t>
      </w:r>
    </w:p>
    <w:p>
      <w:pPr>
        <w:pStyle w:val="style21"/>
      </w:pPr>
      <w:r>
        <w:rPr>
          <w:szCs w:val="24"/>
        </w:rPr>
        <w:t>распределение ассигнований бюджета на 2013 год по разделам, подразделам, целевым статьям и видам расходов функциональной классификации расходов бюджета муниципального образования согласно приложению 4 к настоящему Решению;</w:t>
      </w:r>
    </w:p>
    <w:p>
      <w:pPr>
        <w:pStyle w:val="style21"/>
      </w:pPr>
      <w:r>
        <w:rPr>
          <w:szCs w:val="24"/>
        </w:rPr>
        <w:t>ведомственную структуру расходов бюджета муниципального образования на 2013 год согласно приложению 5 к настоящему Решению.</w:t>
      </w:r>
    </w:p>
    <w:p>
      <w:pPr>
        <w:pStyle w:val="style21"/>
      </w:pPr>
      <w:r>
        <w:rPr>
          <w:szCs w:val="24"/>
        </w:rPr>
      </w:r>
    </w:p>
    <w:p>
      <w:pPr>
        <w:pStyle w:val="style21"/>
      </w:pPr>
      <w:r>
        <w:rPr>
          <w:b/>
          <w:i/>
          <w:szCs w:val="24"/>
        </w:rPr>
        <w:t>Статья 8. Передача полномочий по информационному взаимодействию</w:t>
      </w:r>
    </w:p>
    <w:p>
      <w:pPr>
        <w:pStyle w:val="style21"/>
      </w:pPr>
      <w:r>
        <w:rPr>
          <w:szCs w:val="24"/>
        </w:rPr>
        <w:t>Передать по согласованию полномочия по информационному  взаимодействию с Управлением Федерального казначейства по Саратовской области Финансовому управлению администрации  Новобурасского муниципального района Саратовской области.</w:t>
      </w:r>
    </w:p>
    <w:p>
      <w:pPr>
        <w:pStyle w:val="style21"/>
      </w:pPr>
      <w:r>
        <w:rPr>
          <w:bCs w:val="false"/>
          <w:szCs w:val="24"/>
        </w:rPr>
      </w:r>
    </w:p>
    <w:p>
      <w:pPr>
        <w:pStyle w:val="style21"/>
      </w:pPr>
      <w:r>
        <w:rPr>
          <w:b/>
          <w:i/>
          <w:szCs w:val="24"/>
        </w:rPr>
        <w:t>Статья 9. Источники финансирования дефицита бюджета муниципального образования</w:t>
      </w:r>
    </w:p>
    <w:p>
      <w:pPr>
        <w:pStyle w:val="style21"/>
      </w:pPr>
      <w:r>
        <w:rPr>
          <w:szCs w:val="24"/>
        </w:rPr>
        <w:t>Утвердить:</w:t>
      </w:r>
    </w:p>
    <w:p>
      <w:pPr>
        <w:pStyle w:val="style21"/>
      </w:pPr>
      <w:r>
        <w:rPr>
          <w:szCs w:val="24"/>
        </w:rPr>
        <w:t>источники внутреннего финансирования дефицита бюджета муниципального образования на 2013 год согласно приложению 6 к настоящему Решению.</w:t>
      </w:r>
    </w:p>
    <w:p>
      <w:pPr>
        <w:pStyle w:val="style21"/>
      </w:pPr>
      <w:r>
        <w:rPr>
          <w:b/>
          <w:bCs w:val="false"/>
          <w:i/>
          <w:szCs w:val="24"/>
        </w:rPr>
      </w:r>
    </w:p>
    <w:p>
      <w:pPr>
        <w:pStyle w:val="style21"/>
      </w:pPr>
      <w:r>
        <w:rPr>
          <w:b/>
          <w:bCs w:val="false"/>
          <w:i/>
          <w:szCs w:val="24"/>
        </w:rPr>
        <w:t>Статья 10. Особенности установления отдельных расходных обязательств муниципального образования</w:t>
      </w:r>
    </w:p>
    <w:p>
      <w:pPr>
        <w:pStyle w:val="style21"/>
      </w:pPr>
      <w:r>
        <w:rPr>
          <w:bCs w:val="false"/>
          <w:szCs w:val="24"/>
        </w:rPr>
        <w:t>Установить размер индексации 1,056:</w:t>
      </w:r>
    </w:p>
    <w:p>
      <w:pPr>
        <w:pStyle w:val="style21"/>
      </w:pPr>
      <w:r>
        <w:rPr>
          <w:bCs w:val="false"/>
          <w:szCs w:val="24"/>
        </w:rPr>
        <w:t>с 1 октября 2013 года:</w:t>
      </w:r>
    </w:p>
    <w:p>
      <w:pPr>
        <w:pStyle w:val="style21"/>
      </w:pPr>
      <w:r>
        <w:rPr>
          <w:bCs w:val="false"/>
          <w:szCs w:val="24"/>
        </w:rPr>
        <w:t>должностных окладов (окладов) работников муниципальных казенных и бюджетных учреждений муниципального образования и работников, замещающих должности, не являющиеся должностями муниципальной службы муниципального образования, и осуществляющих техническое обеспечение деятельности органов местного самоуправления муниципального образования;</w:t>
      </w:r>
    </w:p>
    <w:p>
      <w:pPr>
        <w:pStyle w:val="style21"/>
      </w:pPr>
      <w:r>
        <w:rPr>
          <w:szCs w:val="24"/>
        </w:rPr>
        <w:t>должностных окладов муниципальных служащих, замещающих должности муниципальной службы, учреждаемые для исполнения и обеспечения полномочий администрации муниципального района и ее структурных подразделений.</w:t>
      </w:r>
    </w:p>
    <w:p>
      <w:pPr>
        <w:pStyle w:val="style21"/>
      </w:pPr>
      <w:r>
        <w:rPr>
          <w:b/>
          <w:bCs w:val="false"/>
          <w:i/>
          <w:szCs w:val="24"/>
        </w:rPr>
      </w:r>
    </w:p>
    <w:p>
      <w:pPr>
        <w:pStyle w:val="style21"/>
      </w:pPr>
      <w:r>
        <w:rPr>
          <w:b/>
          <w:bCs w:val="false"/>
          <w:i/>
          <w:szCs w:val="24"/>
        </w:rPr>
        <w:t>Статья 11. Особенности исполнения бюджета муниципального образования</w:t>
      </w:r>
    </w:p>
    <w:p>
      <w:pPr>
        <w:pStyle w:val="style21"/>
      </w:pPr>
      <w:r>
        <w:rPr>
          <w:bCs w:val="false"/>
          <w:szCs w:val="24"/>
        </w:rPr>
        <w:t>Администрация муниципального образования обеспечивает направление в 2013 году остатков средств бюджета муниципального образования в объеме до 5000,0 тыс. рублей, находящихся по состоянию на 1 января 2013 года на едином лицевом счете бюджета муниципального образования, на покрытие временных кассовых разрывов.</w:t>
      </w:r>
    </w:p>
    <w:p>
      <w:pPr>
        <w:pStyle w:val="style21"/>
      </w:pPr>
      <w:r>
        <w:rPr>
          <w:bCs w:val="false"/>
          <w:szCs w:val="24"/>
        </w:rPr>
      </w:r>
    </w:p>
    <w:p>
      <w:pPr>
        <w:pStyle w:val="style21"/>
      </w:pPr>
      <w:r>
        <w:rPr>
          <w:b/>
          <w:i/>
          <w:szCs w:val="24"/>
        </w:rPr>
        <w:t>Статья 12. Вступление в силу настоящего Решения</w:t>
      </w:r>
    </w:p>
    <w:p>
      <w:pPr>
        <w:pStyle w:val="style21"/>
      </w:pPr>
      <w:r>
        <w:rPr>
          <w:szCs w:val="24"/>
        </w:rPr>
        <w:t>Настоящее Решение вступает в силу с 1 января 2013 года.</w:t>
      </w:r>
    </w:p>
    <w:p>
      <w:pPr>
        <w:pStyle w:val="style21"/>
      </w:pPr>
      <w:r>
        <w:rPr>
          <w:szCs w:val="24"/>
        </w:rPr>
      </w:r>
    </w:p>
    <w:p>
      <w:pPr>
        <w:pStyle w:val="style21"/>
      </w:pPr>
      <w:r>
        <w:rPr>
          <w:b/>
          <w:i/>
          <w:szCs w:val="24"/>
        </w:rPr>
        <w:t>Статья 13. Обнародование настоящего Решения</w:t>
      </w:r>
    </w:p>
    <w:p>
      <w:pPr>
        <w:pStyle w:val="style21"/>
      </w:pPr>
      <w:r>
        <w:rPr>
          <w:szCs w:val="24"/>
        </w:rPr>
        <w:t>Настоящее Решение подлежит обнародованию.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bCs/>
          <w:sz w:val="24"/>
          <w:szCs w:val="24"/>
        </w:rPr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bCs/>
          <w:sz w:val="24"/>
          <w:szCs w:val="24"/>
        </w:rPr>
        <w:t>Пояснительная записка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sz w:val="24"/>
          <w:szCs w:val="24"/>
        </w:rPr>
        <w:t xml:space="preserve">к  бюджету Новобурасского муниципального образования 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sz w:val="24"/>
          <w:szCs w:val="24"/>
        </w:rPr>
        <w:t>на 2013 год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Бюджет  поселения на 2013 год определен по доходам в сумме 11141,9 тыс. рублей и расходам в сумме 11141,9 тыс. рублей.</w:t>
      </w:r>
    </w:p>
    <w:p>
      <w:pPr>
        <w:pStyle w:val="style0"/>
        <w:keepNext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bCs/>
          <w:sz w:val="24"/>
          <w:szCs w:val="24"/>
        </w:rPr>
        <w:t>Доходы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Собственные доходы бюджета 2013 года составляют 7215,7 тыс. рублей или 64,8 % объема всех доходов бюджета, что по сравнению с 2012 годом уменьшился на 81,4 тыс. рублей.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Основными доходами бюджета, имеющими наибольший удельный вес, являются: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1. Налог на доходы физических лиц составил 3759,2 тыс. рублей, по сравнению с 2012 годом увеличился на 199,2 тыс. рублей, что составляет 5,6 %, в связи с увеличением налоговой базы.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 xml:space="preserve">2. Земельный налог составил 2164,4 тыс. рублей, по сравнению с 2012 годом увеличился на 741,0 тыс. рублей. </w:t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  <w:t>3. Доходы от аренды муниципального имущества составили 325,0 тыс. рублей, по сравнению с 2012 годом уменьшился на 75,0 тыс. рублей или на 18,7 %.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4. Доходы от продажи земельных участков составляют 50,0 тыс. рублей, по сравнению с 2012 годом остались на прежнем уровне.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5. Единый сельскохозяйственный налог запланирован в сумме 113,2 тыс. рублей, по сравнению с 2012 годом уменьшился на 833,8 тыс. рублей, в связи с уменьшением налоговой базы.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 xml:space="preserve">6. Налог на имущество физических лиц составляет  803,9 тыс. рублей, по сравнению с 2012 годом уменьшился на 112,8 тыс. рублей.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Дотации на выравнивание  бюджетной обеспеченности поселений за счет субвенции из областного бюджета  226,2 тыс. рублей.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Итого собственные доходы и дотация составили  7441,9 тыс. рублей.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Остальной бюджет составляет 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  в сумме  3700.0 тыс. рублей.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keepNext/>
        <w:spacing w:after="0" w:before="0" w:line="100" w:lineRule="atLeast"/>
        <w:jc w:val="center"/>
      </w:pPr>
      <w:r>
        <w:rPr>
          <w:rFonts w:ascii="Times New Roman" w:cs="Times New Roman" w:hAnsi="Times New Roman"/>
          <w:b/>
          <w:bCs/>
          <w:sz w:val="24"/>
          <w:szCs w:val="24"/>
        </w:rPr>
        <w:t>Расходы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Расходы бюджета поселения направлены:</w:t>
      </w:r>
    </w:p>
    <w:p>
      <w:pPr>
        <w:pStyle w:val="style0"/>
        <w:numPr>
          <w:ilvl w:val="0"/>
          <w:numId w:val="3"/>
        </w:numPr>
        <w:tabs>
          <w:tab w:leader="none" w:pos="851" w:val="left"/>
        </w:tabs>
        <w:spacing w:after="0" w:before="0" w:line="100" w:lineRule="atLeast"/>
        <w:ind w:hanging="0" w:left="0" w:right="0"/>
        <w:jc w:val="both"/>
      </w:pPr>
      <w:r>
        <w:rPr>
          <w:rFonts w:ascii="Times New Roman" w:cs="Times New Roman" w:hAnsi="Times New Roman"/>
          <w:sz w:val="24"/>
          <w:szCs w:val="24"/>
        </w:rPr>
        <w:t xml:space="preserve">По разделу «Общегосударственные вопросы» запланировано 2127,3 тыс. рублей, в том числе:                                                              </w:t>
      </w:r>
    </w:p>
    <w:p>
      <w:pPr>
        <w:pStyle w:val="style0"/>
        <w:tabs>
          <w:tab w:leader="none" w:pos="851" w:val="left"/>
        </w:tabs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- содержание главы муниципального образования – 182,0 тыс. рублей;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- содержание центрального аппарата  – 852,4 тыс. рублей;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- уплата налога на имущество организаций и земельного налога – 100,0 тыс. рублей;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- уплата транспортного налога – 8,0 тыс. рублей;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 xml:space="preserve">- резервный фонд – 10,0 тыс. рублей;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- содержание финансового органа – 147,0 тыс. рублей;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- содержание Централизованной бухгалтерии – 462,2 тыс. рублей;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- проведение выборов в представительные органы муниципального образования – 365,7 тыс. рублей.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2. По разделу «Национальная экономика» заложено 3700,0 тыс. рублей, в том числе: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 xml:space="preserve">- субсидия на капитальный ремонт и ремонт автомобильных дорог – 3700,0 тыс. рублей.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3. По разделу «Жилищно-коммунальное хозяйство» запланировано 910,7 тыс. рублей, в том числе: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- благоустройство – 910,7 тыс. рублей.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4. По разделу «Культура и кинематография» заложено 4384,9 тыс. рублей, в том числе: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- переданные полномочия по культуре – 4384,9 тыс. рублей.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5. По разделу «Социальная политика» запланировано 16,0 тыс. рублей, в том числе: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- доплаты к пенсиям муниципальных служащих – 16,0 тыс. рублей.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  <w:t>6. На спорт и физическую культуру заложено 3,0 тыс. рублей.</w:t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tbl>
      <w:tblPr>
        <w:jc w:val="left"/>
        <w:tblInd w:type="dxa" w:w="-10"/>
        <w:tblBorders/>
      </w:tblPr>
      <w:tblGrid>
        <w:gridCol w:w="3353"/>
        <w:gridCol w:w="3353"/>
        <w:gridCol w:w="3354"/>
      </w:tblGrid>
      <w:tr>
        <w:trPr>
          <w:trHeight w:hRule="atLeast" w:val="2325"/>
          <w:cantSplit w:val="false"/>
        </w:trPr>
        <w:tc>
          <w:tcPr>
            <w:tcW w:type="dxa" w:w="3353"/>
            <w:gridSpan w:val="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type="dxa" w:w="335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3354"/>
            <w:gridSpan w:val="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1 к решению Совета от _____________ 2012 года № ___ "О бюджете Новобурасского муниципального образования на 2013 год" </w:t>
            </w:r>
          </w:p>
        </w:tc>
      </w:tr>
      <w:tr>
        <w:trPr>
          <w:trHeight w:hRule="atLeast" w:val="915"/>
          <w:cantSplit w:val="false"/>
        </w:trPr>
        <w:tc>
          <w:tcPr>
            <w:tcW w:type="dxa" w:w="3353"/>
            <w:gridSpan w:val="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в бюджет Новобурасского муниципального образования на 2013 год</w:t>
            </w:r>
          </w:p>
        </w:tc>
      </w:tr>
      <w:tr>
        <w:trPr>
          <w:trHeight w:hRule="atLeast" w:val="375"/>
          <w:cantSplit w:val="false"/>
        </w:trPr>
        <w:tc>
          <w:tcPr>
            <w:tcW w:type="dxa" w:w="299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5240"/>
            <w:gridSpan w:val="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182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hRule="atLeast" w:val="375"/>
          <w:cantSplit w:val="false"/>
        </w:trPr>
        <w:tc>
          <w:tcPr>
            <w:tcW w:type="dxa" w:w="299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5240"/>
            <w:gridSpan w:val="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182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>
        <w:trPr>
          <w:trHeight w:hRule="atLeast" w:val="750"/>
          <w:cantSplit w:val="false"/>
        </w:trPr>
        <w:tc>
          <w:tcPr>
            <w:tcW w:type="dxa" w:w="299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РФ</w:t>
            </w:r>
          </w:p>
        </w:tc>
        <w:tc>
          <w:tcPr>
            <w:tcW w:type="dxa" w:w="5240"/>
            <w:gridSpan w:val="3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type="dxa" w:w="1821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>
        <w:trPr>
          <w:trHeight w:hRule="atLeast" w:val="375"/>
          <w:cantSplit w:val="false"/>
        </w:trPr>
        <w:tc>
          <w:tcPr>
            <w:tcW w:type="dxa" w:w="299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type="dxa" w:w="5240"/>
            <w:gridSpan w:val="3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type="dxa" w:w="182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>
        <w:trPr>
          <w:trHeight w:hRule="atLeast" w:val="375"/>
          <w:cantSplit w:val="false"/>
        </w:trPr>
        <w:tc>
          <w:tcPr>
            <w:tcW w:type="dxa" w:w="299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2 02 00000 00 0000 151</w:t>
            </w:r>
          </w:p>
        </w:tc>
        <w:tc>
          <w:tcPr>
            <w:tcW w:type="dxa" w:w="5240"/>
            <w:gridSpan w:val="3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type="dxa" w:w="182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3 926,2</w:t>
            </w:r>
          </w:p>
        </w:tc>
      </w:tr>
      <w:tr>
        <w:trPr>
          <w:trHeight w:hRule="atLeast" w:val="375"/>
          <w:cantSplit w:val="false"/>
        </w:trPr>
        <w:tc>
          <w:tcPr>
            <w:tcW w:type="dxa" w:w="299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5240"/>
            <w:gridSpan w:val="3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type="dxa" w:w="182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hRule="atLeast" w:val="611"/>
          <w:cantSplit w:val="false"/>
        </w:trPr>
        <w:tc>
          <w:tcPr>
            <w:tcW w:type="dxa" w:w="299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type="dxa" w:w="5240"/>
            <w:gridSpan w:val="3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Дотации от других бюджетов бюджетной системы РФ</w:t>
            </w:r>
          </w:p>
        </w:tc>
        <w:tc>
          <w:tcPr>
            <w:tcW w:type="dxa" w:w="182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226,2</w:t>
            </w:r>
          </w:p>
        </w:tc>
      </w:tr>
      <w:tr>
        <w:trPr>
          <w:trHeight w:hRule="atLeast" w:val="806"/>
          <w:cantSplit w:val="false"/>
        </w:trPr>
        <w:tc>
          <w:tcPr>
            <w:tcW w:type="dxa" w:w="299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2 02 01001 10 0001 151</w:t>
            </w:r>
          </w:p>
        </w:tc>
        <w:tc>
          <w:tcPr>
            <w:tcW w:type="dxa" w:w="5240"/>
            <w:gridSpan w:val="3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type="dxa" w:w="182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226,2</w:t>
            </w:r>
          </w:p>
        </w:tc>
      </w:tr>
      <w:tr>
        <w:trPr>
          <w:trHeight w:hRule="atLeast" w:val="1375"/>
          <w:cantSplit w:val="false"/>
        </w:trPr>
        <w:tc>
          <w:tcPr>
            <w:tcW w:type="dxa" w:w="299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2 02 02999 10 0038 151</w:t>
            </w:r>
          </w:p>
        </w:tc>
        <w:tc>
          <w:tcPr>
            <w:tcW w:type="dxa" w:w="5240"/>
            <w:gridSpan w:val="3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type="dxa" w:w="182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390"/>
          <w:cantSplit w:val="false"/>
        </w:trPr>
        <w:tc>
          <w:tcPr>
            <w:tcW w:type="dxa" w:w="299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5240"/>
            <w:gridSpan w:val="3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type="dxa" w:w="182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11 141,9</w:t>
            </w:r>
          </w:p>
        </w:tc>
      </w:tr>
    </w:tbl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  <w:t>ПРОЕКТ</w:t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  <w:t xml:space="preserve">         </w:t>
      </w:r>
      <w:r>
        <w:rPr>
          <w:rFonts w:ascii="Times New Roman" w:cs="Times New Roman" w:hAnsi="Times New Roman"/>
          <w:sz w:val="24"/>
          <w:szCs w:val="24"/>
        </w:rPr>
        <w:tab/>
        <w:tab/>
        <w:t xml:space="preserve">                                                                                                                                         Приложение № 2 </w:t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  <w:t xml:space="preserve">к решению Совета от ___________ 2012 года </w:t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  <w:t xml:space="preserve">№ </w:t>
      </w:r>
      <w:r>
        <w:rPr>
          <w:rFonts w:ascii="Times New Roman" w:cs="Times New Roman" w:hAnsi="Times New Roman"/>
          <w:sz w:val="24"/>
          <w:szCs w:val="24"/>
        </w:rPr>
        <w:t xml:space="preserve">___ "О бюджете Новобурасского муниципального </w:t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  <w:t>образования на 2013 год"</w:t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tbl>
      <w:tblPr>
        <w:jc w:val="left"/>
        <w:tblInd w:type="dxa" w:w="-108"/>
        <w:tblBorders/>
      </w:tblPr>
      <w:tblGrid>
        <w:gridCol w:w="2605"/>
      </w:tblGrid>
      <w:tr>
        <w:trPr>
          <w:trHeight w:hRule="atLeast" w:val="315"/>
          <w:cantSplit w:val="false"/>
        </w:trPr>
        <w:tc>
          <w:tcPr>
            <w:tcW w:type="dxa" w:w="2605"/>
            <w:gridSpan w:val="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Перечень главных администраторов доходов бюджета поселения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605"/>
            <w:gridSpan w:val="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Новобурасского  муниципального образования на 2013 год</w:t>
            </w:r>
          </w:p>
        </w:tc>
      </w:tr>
      <w:tr>
        <w:trPr>
          <w:trHeight w:hRule="atLeast" w:val="916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Код администратора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Наименование администратора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Наименование доходного источника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</w:tr>
      <w:tr>
        <w:trPr>
          <w:trHeight w:hRule="atLeast" w:val="2541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1 08 04020 01 0000 110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1 08 07150 01 0000 110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>
        <w:trPr>
          <w:trHeight w:hRule="atLeast" w:val="1275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1 11 02033 10 0000 120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Доходы от размещения временно свободных средств бюджетов поселений</w:t>
            </w:r>
          </w:p>
        </w:tc>
      </w:tr>
      <w:tr>
        <w:trPr>
          <w:trHeight w:hRule="atLeast" w:val="147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1 11 03050 10 0000 120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>
        <w:trPr>
          <w:trHeight w:hRule="atLeast" w:val="147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1 11 05035 10 0000 120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Доходы от сдачи в аренду уимущества,находящегося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>
        <w:trPr>
          <w:trHeight w:hRule="atLeast" w:val="1245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1 13 01995 10 0000 130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</w:tr>
      <w:tr>
        <w:trPr>
          <w:trHeight w:hRule="atLeast" w:val="557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1 13 02995 10 0000 130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Прочие доходы от  компенсации затрат  бюджетов поселений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1 16 18050 10 0000 140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>
        <w:trPr>
          <w:trHeight w:hRule="atLeast" w:val="1575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1 16 23051 10 0000 140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поселений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1 16 23052 10 0000 140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Доходы от возмещения ущерба при возникновении иных страховых , когда выгодоприобретателями  выступают получатели средств бюджетов поселений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1 16 90050 10 0000 140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Невыясненные поступления  зачисляемые в бюджеты поселений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1 17 05050 10 0000 180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</w:tr>
      <w:tr>
        <w:trPr>
          <w:trHeight w:hRule="atLeast" w:val="93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2 02 01001 10  0001 151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</w:tr>
      <w:tr>
        <w:trPr>
          <w:trHeight w:hRule="atLeast" w:val="93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2 02 01001 10  0002 151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Дотация бюджетам поселений на выравнивание  бюджетной обеспеченности  </w:t>
            </w:r>
          </w:p>
        </w:tc>
      </w:tr>
      <w:tr>
        <w:trPr>
          <w:trHeight w:hRule="atLeast" w:val="123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2 02 02102 10  0000 151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>
        <w:trPr>
          <w:trHeight w:hRule="atLeast" w:val="123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2 02 02999 10  0034 151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Субсидия бюджетам поселений области на реализацию мероприятий по строительству и (или) реконструкции объектов водоснабжения, водоотведения и очистки сточных вод за счет средств областного бюджета </w:t>
            </w:r>
          </w:p>
        </w:tc>
      </w:tr>
      <w:tr>
        <w:trPr>
          <w:trHeight w:hRule="atLeast" w:val="1575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2 02 02999 10 0037 151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</w:tr>
      <w:tr>
        <w:trPr>
          <w:trHeight w:hRule="atLeast" w:val="129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2 02 02999 10 0038 151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</w:tr>
      <w:tr>
        <w:trPr>
          <w:trHeight w:hRule="atLeast" w:val="1905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2 02 02999 10  0041 151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Субсидия бюджетам поселений области на софинансирование расходных обязательств поселений в сфере водоснабжения в рамках реализации  мероприятий подпрограммы «Чистая вода» долгосрочной областной целевой программы «Обеспечение населения Саратовской области питьевой водой на 2011-2015 годы»</w:t>
            </w:r>
          </w:p>
        </w:tc>
      </w:tr>
      <w:tr>
        <w:trPr>
          <w:trHeight w:hRule="atLeast" w:val="129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2 02 02999 10 0043 151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Субсидия бюджетам поселений области на реализацию мероприятий по подготовке генеральных планов поселений области</w:t>
            </w:r>
          </w:p>
        </w:tc>
      </w:tr>
      <w:tr>
        <w:trPr>
          <w:trHeight w:hRule="atLeast" w:val="1755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2 02 02999 10  0047 151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Субсидия бюджетам поселений области на софинансирование расходных обязательств поселений области по реализации мероприятий в сфере строительства и (или) реконструкции объектов водоснабжения, водоотведения и очистки сточных вод  </w:t>
            </w:r>
          </w:p>
        </w:tc>
      </w:tr>
      <w:tr>
        <w:trPr>
          <w:trHeight w:hRule="atLeast" w:val="129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2 02 03015 10 0000 151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2 02 04999 10 0000 151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Прочие межбюджетные трансферты,передаваемые бюджетам поселений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2 07 05000 10 0000 180 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Прочие  безвозмездные поступления в бюджеты поселений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2 18 05010 10 0000 151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Доходы бюджетов поселений от возврата остатков субсидий 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2 18 05010 10 0000 180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Доходы бюджетов поселений от возврата  организациями остатков субсидий прошлых лет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2 18 05020 10 0000 151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Доходы бюджетов поселений от возврата остатков субсидий , субвенций и иных межбюджетных трасфертов, имеющих целевое назначение,прошлых лет из бюджетов государственных внебюджетных фондов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2 18 05030 10 0000 180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Доходы бюджетов поселений от возврата иными организациями остатков субсидий прошлых лет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95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246</w:t>
            </w:r>
          </w:p>
        </w:tc>
        <w:tc>
          <w:tcPr>
            <w:tcW w:type="dxa" w:w="3118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269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2 19 05000 10 0000 151</w:t>
            </w:r>
          </w:p>
        </w:tc>
        <w:tc>
          <w:tcPr>
            <w:tcW w:type="dxa" w:w="365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Возврат остатков субсидий , субвенций и иных межбюджетных трансфертов, имеющих целевое назначение,прошлых лет из бюджетов поселений</w:t>
            </w:r>
          </w:p>
        </w:tc>
      </w:tr>
    </w:tbl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tbl>
      <w:tblPr>
        <w:jc w:val="left"/>
        <w:tblInd w:type="dxa" w:w="-10"/>
        <w:tblBorders/>
      </w:tblPr>
      <w:tblGrid>
        <w:gridCol w:w="4971"/>
        <w:gridCol w:w="2316"/>
      </w:tblGrid>
      <w:tr>
        <w:trPr>
          <w:trHeight w:hRule="atLeast" w:val="1560"/>
          <w:cantSplit w:val="false"/>
        </w:trPr>
        <w:tc>
          <w:tcPr>
            <w:tcW w:type="dxa" w:w="4971"/>
            <w:gridSpan w:val="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type="dxa" w:w="2316"/>
            <w:gridSpan w:val="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3 к решению Совета от ___________ 2012 года № ___ "О бюджете Новобурасского муниципального образования на 2013 год" </w:t>
            </w:r>
          </w:p>
        </w:tc>
      </w:tr>
      <w:tr>
        <w:trPr>
          <w:trHeight w:hRule="atLeast" w:val="795"/>
          <w:cantSplit w:val="false"/>
        </w:trPr>
        <w:tc>
          <w:tcPr>
            <w:tcW w:type="dxa" w:w="3643"/>
            <w:gridSpan w:val="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Нормативы распределения доходов  бюджетами  муниципальных образований  на 2013 год</w:t>
            </w:r>
          </w:p>
        </w:tc>
      </w:tr>
      <w:tr>
        <w:trPr>
          <w:trHeight w:hRule="atLeast" w:val="120"/>
          <w:cantSplit w:val="false"/>
        </w:trPr>
        <w:tc>
          <w:tcPr>
            <w:tcW w:type="dxa" w:w="364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3644"/>
            <w:gridSpan w:val="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364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64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3644"/>
            <w:gridSpan w:val="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364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ind w:hanging="0" w:left="-108" w:right="-45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36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type="dxa" w:w="3644"/>
            <w:gridSpan w:val="2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type="dxa" w:w="3644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бюджеты поселений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  зачисляемые в бюджеты поселений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519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2 02 01001 10  0001 151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513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2 02 01001 10  0002 151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 бюджетной обеспеченности  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521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2 02 02102 10  0000 151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Субсидии бюджетам поселений на закупку автотранспортных средств и коммунальной техники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1097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2 02 02999 10  0034 151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Субсидия бюджетам поселений области на реализацию мероприятий по строительству и (или) реконструкции объектов водоснабжения, водоотведения и очистки сточных вод за счет средств областного бюджета 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1407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2 02 02999 10 0037 151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1000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2 02 02999 10 0038 151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1905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2 02 02999 10  0041 151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Субсидия бюджетам поселений области на софинансирование расходных обязательств поселений в сфере водоснабжения в рамках реализации  мероприятий подпрограммы «Чистая вода» долгосрочной областной целевой программы «Обеспечение населения Саратовской области питьевой водой на 2011-2015 годы»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774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2 02 02999 10 0043 151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Субсидия бюджетам поселений области на реализацию мероприятий по подготовке генеральных планов поселений области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1354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2 02 02999 10  0047 151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Субсидия бюджетам поселений области на софинансирование расходных обязательств поселений области по реализации мероприятий в сфере строительства и (или) реконструкции объектов водоснабжения, водоотведения и очистки сточных вод  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806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2 02 04999 10 0000 151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трансферты,передаваемые бюджетам поселений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543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2 07 05000 10 0000 180 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Прочие  безвозмездные поступления в бюджеты поселений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2 18 05010 10 0000 151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Доходы бюджетов поселений от возврата остатков субсидий 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2 18 05010 10 0000 180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Доходы бюджетов поселений от возврата  организациями остатков субсидий прошлых лет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2 18 05020 10 0000 151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Доходы бюджетов поселений от возврата остатков субсидий , субвенций и иных межбюджетных трасфертов, имеющих целевое назначение,прошлых лет из бюджетов государственных внебюджетных фондов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2 18 05030 10 0000 180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Доходы бюджетов поселений от возврата иными организациями остатков субсидий прошлых лет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hRule="atLeast" w:val="945"/>
          <w:cantSplit w:val="false"/>
        </w:trPr>
        <w:tc>
          <w:tcPr>
            <w:tcW w:type="dxa" w:w="3643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2 19 05000 10 0000 151</w:t>
            </w:r>
          </w:p>
        </w:tc>
        <w:tc>
          <w:tcPr>
            <w:tcW w:type="dxa" w:w="3644"/>
            <w:gridSpan w:val="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 , субвенций и иных межбюджетных трансфертов, имеющих целевое назначение,прошлых лет из бюджетов поселений</w:t>
            </w:r>
          </w:p>
        </w:tc>
        <w:tc>
          <w:tcPr>
            <w:tcW w:type="dxa" w:w="3644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tbl>
      <w:tblPr>
        <w:jc w:val="left"/>
        <w:tblInd w:type="dxa" w:w="-10"/>
        <w:tblBorders/>
      </w:tblPr>
      <w:tblGrid>
        <w:gridCol w:w="3958"/>
        <w:gridCol w:w="820"/>
        <w:gridCol w:w="819"/>
        <w:gridCol w:w="1059"/>
        <w:gridCol w:w="2993"/>
      </w:tblGrid>
      <w:tr>
        <w:trPr>
          <w:trHeight w:hRule="atLeast" w:val="1980"/>
          <w:cantSplit w:val="false"/>
        </w:trPr>
        <w:tc>
          <w:tcPr>
            <w:tcW w:type="dxa" w:w="3958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type="dxa" w:w="82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81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105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299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ind w:hanging="0" w:left="-95" w:right="0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Приложение № 4 к решению Совета от _______________ 2012 года № ___ "О бюджете Новобурасского муниципального образования на 2013 год"</w:t>
            </w:r>
          </w:p>
        </w:tc>
      </w:tr>
    </w:tbl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tbl>
      <w:tblPr>
        <w:jc w:val="left"/>
        <w:tblInd w:type="dxa" w:w="-10"/>
        <w:tblBorders/>
      </w:tblPr>
      <w:tblGrid>
        <w:gridCol w:w="1533"/>
      </w:tblGrid>
      <w:tr>
        <w:trPr>
          <w:trHeight w:hRule="atLeast" w:val="585"/>
          <w:cantSplit w:val="false"/>
        </w:trPr>
        <w:tc>
          <w:tcPr>
            <w:tcW w:type="dxa" w:w="1533"/>
            <w:gridSpan w:val="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Распределение ассигнований бюджета на 2013 год по разделам, подразделам, целевым статьям и видам расходов функциональной классификации расходов 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94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92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112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1188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105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94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92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112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1188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105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  <w:ind w:hanging="0" w:left="0" w:right="-210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trHeight w:hRule="atLeast" w:val="870"/>
          <w:cantSplit w:val="false"/>
        </w:trPr>
        <w:tc>
          <w:tcPr>
            <w:tcW w:type="dxa" w:w="3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type="dxa" w:w="942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type="dxa" w:w="929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Под-раздел</w:t>
            </w:r>
          </w:p>
        </w:tc>
        <w:tc>
          <w:tcPr>
            <w:tcW w:type="dxa" w:w="1129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type="dxa" w:w="1188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type="dxa" w:w="1052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2 127,3</w:t>
            </w:r>
          </w:p>
        </w:tc>
      </w:tr>
      <w:tr>
        <w:trPr>
          <w:trHeight w:hRule="atLeast" w:val="72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182,0</w:t>
            </w:r>
          </w:p>
        </w:tc>
      </w:tr>
      <w:tr>
        <w:trPr>
          <w:trHeight w:hRule="atLeast" w:val="120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182,0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182,0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182,0</w:t>
            </w:r>
          </w:p>
        </w:tc>
      </w:tr>
      <w:tr>
        <w:trPr>
          <w:trHeight w:hRule="atLeast" w:val="120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960,4</w:t>
            </w:r>
          </w:p>
        </w:tc>
      </w:tr>
      <w:tr>
        <w:trPr>
          <w:trHeight w:hRule="atLeast" w:val="120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960,4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860,4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860,4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>
        <w:trPr>
          <w:trHeight w:hRule="atLeast" w:val="273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147,0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147,0</w:t>
            </w:r>
          </w:p>
        </w:tc>
      </w:tr>
      <w:tr>
        <w:trPr>
          <w:trHeight w:hRule="atLeast" w:val="192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147,0</w:t>
            </w:r>
          </w:p>
        </w:tc>
      </w:tr>
      <w:tr>
        <w:trPr>
          <w:trHeight w:hRule="atLeast" w:val="192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147,0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147,0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365,7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365,7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0200002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365,7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0200002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365,7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462,2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462,2</w:t>
            </w:r>
          </w:p>
        </w:tc>
      </w:tr>
      <w:tr>
        <w:trPr>
          <w:trHeight w:hRule="atLeast" w:val="192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462,2</w:t>
            </w:r>
          </w:p>
        </w:tc>
      </w:tr>
      <w:tr>
        <w:trPr>
          <w:trHeight w:hRule="atLeast" w:val="120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462,2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462,2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144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образований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5210100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96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Субсидия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910,7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910,7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460,0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460,0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450,7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450,7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192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192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</w:tr>
      <w:tr>
        <w:trPr>
          <w:trHeight w:hRule="atLeast" w:val="72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95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94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9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12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type="dxa" w:w="1188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052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8149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type="dxa" w:w="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11 141,9</w:t>
            </w:r>
          </w:p>
        </w:tc>
      </w:tr>
    </w:tbl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tbl>
      <w:tblPr>
        <w:jc w:val="left"/>
        <w:tblInd w:type="dxa" w:w="-10"/>
        <w:tblBorders/>
      </w:tblPr>
      <w:tblGrid>
        <w:gridCol w:w="3959"/>
        <w:gridCol w:w="760"/>
        <w:gridCol w:w="819"/>
        <w:gridCol w:w="820"/>
        <w:gridCol w:w="1060"/>
        <w:gridCol w:w="2541"/>
      </w:tblGrid>
      <w:tr>
        <w:trPr>
          <w:trHeight w:hRule="atLeast" w:val="1980"/>
          <w:cantSplit w:val="false"/>
        </w:trPr>
        <w:tc>
          <w:tcPr>
            <w:tcW w:type="dxa" w:w="395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type="dxa" w:w="76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81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82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106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254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ind w:hanging="0" w:left="-147" w:right="-81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Приложение № 5 к решению Совета от _______________ 2012 года № ___ "О бюджете Новобурасского муниципального образования на 2013 год"</w:t>
            </w:r>
          </w:p>
        </w:tc>
      </w:tr>
    </w:tbl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tbl>
      <w:tblPr>
        <w:jc w:val="left"/>
        <w:tblInd w:type="dxa" w:w="-10"/>
        <w:tblBorders/>
      </w:tblPr>
      <w:tblGrid>
        <w:gridCol w:w="1474"/>
      </w:tblGrid>
      <w:tr>
        <w:trPr>
          <w:trHeight w:hRule="atLeast" w:val="255"/>
          <w:cantSplit w:val="false"/>
        </w:trPr>
        <w:tc>
          <w:tcPr>
            <w:tcW w:type="dxa" w:w="1474"/>
            <w:gridSpan w:val="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 бюджета муниципального образования на 2013 год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74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94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109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127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127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110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74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94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109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127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127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type="dxa" w:w="110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>
            <w:pPr>
              <w:pStyle w:val="style0"/>
              <w:spacing w:after="0" w:before="0" w:line="100" w:lineRule="atLeast"/>
              <w:ind w:hanging="0" w:left="-111" w:right="0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trHeight w:hRule="atLeast" w:val="870"/>
          <w:cantSplit w:val="false"/>
        </w:trPr>
        <w:tc>
          <w:tcPr>
            <w:tcW w:type="dxa" w:w="388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type="dxa" w:w="749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type="dxa" w:w="941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type="dxa" w:w="1091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Под-раздел</w:t>
            </w:r>
          </w:p>
        </w:tc>
        <w:tc>
          <w:tcPr>
            <w:tcW w:type="dxa" w:w="1275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type="dxa" w:w="1276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type="dxa" w:w="1101"/>
            <w:tcBorders>
              <w:top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>
        <w:trPr>
          <w:trHeight w:hRule="atLeast" w:val="96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11 141,9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2 127,3</w:t>
            </w:r>
          </w:p>
        </w:tc>
      </w:tr>
      <w:tr>
        <w:trPr>
          <w:trHeight w:hRule="atLeast" w:val="72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182,0</w:t>
            </w:r>
          </w:p>
        </w:tc>
      </w:tr>
      <w:tr>
        <w:trPr>
          <w:trHeight w:hRule="atLeast" w:val="120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182,0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182,0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182,0</w:t>
            </w:r>
          </w:p>
        </w:tc>
      </w:tr>
      <w:tr>
        <w:trPr>
          <w:trHeight w:hRule="atLeast" w:val="120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960,4</w:t>
            </w:r>
          </w:p>
        </w:tc>
      </w:tr>
      <w:tr>
        <w:trPr>
          <w:trHeight w:hRule="atLeast" w:val="120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960,4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860,4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860,4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>
        <w:trPr>
          <w:trHeight w:hRule="atLeast" w:val="96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147,0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147,0</w:t>
            </w:r>
          </w:p>
        </w:tc>
      </w:tr>
      <w:tr>
        <w:trPr>
          <w:trHeight w:hRule="atLeast" w:val="192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147,0</w:t>
            </w:r>
          </w:p>
        </w:tc>
      </w:tr>
      <w:tr>
        <w:trPr>
          <w:trHeight w:hRule="atLeast" w:val="192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147,0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147,0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365,7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365,7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0200002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365,7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0200002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365,7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462,2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462,2</w:t>
            </w:r>
          </w:p>
        </w:tc>
      </w:tr>
      <w:tr>
        <w:trPr>
          <w:trHeight w:hRule="atLeast" w:val="192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462,2</w:t>
            </w:r>
          </w:p>
        </w:tc>
      </w:tr>
      <w:tr>
        <w:trPr>
          <w:trHeight w:hRule="atLeast" w:val="120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462,2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462,2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144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образований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5210100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96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Субсидия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3 700,0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910,7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910,7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910,7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460,0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460,0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450,7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450,7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192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192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4 384,9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</w:tr>
      <w:tr>
        <w:trPr>
          <w:trHeight w:hRule="atLeast" w:val="72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3889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type="dxa" w:w="749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type="dxa" w:w="94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109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type="dxa" w:w="1275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type="dxa" w:w="1276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type="dxa" w:w="110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9224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type="dxa" w:w="1"/>
            <w:tcBorders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100" w:lineRule="atLeast"/>
              <w:jc w:val="righ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11 141,9</w:t>
            </w:r>
          </w:p>
        </w:tc>
      </w:tr>
    </w:tbl>
    <w:p>
      <w:pPr>
        <w:sectPr>
          <w:type w:val="nextPage"/>
          <w:pgSz w:h="16838" w:w="11906"/>
          <w:pgMar w:bottom="1134" w:footer="0" w:gutter="0" w:header="0" w:left="1134" w:right="567" w:top="1134"/>
          <w:pgNumType w:fmt="decimal"/>
          <w:formProt w:val="false"/>
          <w:textDirection w:val="lrTb"/>
          <w:docGrid w:charSpace="4096" w:linePitch="360" w:type="default"/>
        </w:sectPr>
        <w:pStyle w:val="style0"/>
        <w:spacing w:after="0" w:before="0" w:line="100" w:lineRule="atLeast"/>
        <w:jc w:val="center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  <w:t>ПРОЕКТ</w:t>
        <w:tab/>
        <w:t xml:space="preserve">Приложение №6 </w:t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  <w:t xml:space="preserve">к решению Совета от _________ 2012 года № ___ </w:t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  <w:t>"О бюджете Новобурасского муниципального образования</w:t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на 2013 год"</w:t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tbl>
      <w:tblPr>
        <w:jc w:val="left"/>
        <w:tblInd w:type="dxa" w:w="-108"/>
        <w:tblBorders/>
      </w:tblPr>
      <w:tblGrid>
        <w:gridCol w:w="4928"/>
      </w:tblGrid>
      <w:tr>
        <w:trPr>
          <w:trHeight w:hRule="atLeast" w:val="375"/>
          <w:cantSplit w:val="false"/>
        </w:trPr>
        <w:tc>
          <w:tcPr>
            <w:tcW w:type="dxa" w:w="4928"/>
            <w:gridSpan w:val="3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на 2013 год</w:t>
            </w:r>
          </w:p>
        </w:tc>
      </w:tr>
      <w:tr>
        <w:trPr>
          <w:trHeight w:hRule="atLeast" w:val="420"/>
          <w:cantSplit w:val="false"/>
        </w:trPr>
        <w:tc>
          <w:tcPr>
            <w:tcW w:type="dxa" w:w="244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  <w:tc>
          <w:tcPr>
            <w:tcW w:type="dxa" w:w="1050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  <w:tc>
          <w:tcPr>
            <w:tcW w:type="dxa" w:w="184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(тыс. руб)</w:t>
            </w:r>
          </w:p>
        </w:tc>
      </w:tr>
      <w:tr>
        <w:trPr>
          <w:trHeight w:hRule="atLeast" w:val="792"/>
          <w:cantSplit w:val="false"/>
        </w:trPr>
        <w:tc>
          <w:tcPr>
            <w:tcW w:type="dxa" w:w="244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Код группы, подгруппы, статьи и  вида источников</w:t>
            </w:r>
          </w:p>
        </w:tc>
        <w:tc>
          <w:tcPr>
            <w:tcW w:type="dxa" w:w="1050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type="dxa" w:w="184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>
        <w:trPr>
          <w:trHeight w:hRule="atLeast" w:val="375"/>
          <w:cantSplit w:val="false"/>
        </w:trPr>
        <w:tc>
          <w:tcPr>
            <w:tcW w:type="dxa" w:w="244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01000000000000000</w:t>
            </w:r>
          </w:p>
        </w:tc>
        <w:tc>
          <w:tcPr>
            <w:tcW w:type="dxa" w:w="1050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type="dxa" w:w="184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>
        <w:trPr>
          <w:trHeight w:hRule="atLeast" w:val="347"/>
          <w:cantSplit w:val="false"/>
        </w:trPr>
        <w:tc>
          <w:tcPr>
            <w:tcW w:type="dxa" w:w="244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01050000000000000</w:t>
            </w:r>
          </w:p>
        </w:tc>
        <w:tc>
          <w:tcPr>
            <w:tcW w:type="dxa" w:w="1050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type="dxa" w:w="184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>
        <w:trPr>
          <w:trHeight w:hRule="atLeast" w:val="268"/>
          <w:cantSplit w:val="false"/>
        </w:trPr>
        <w:tc>
          <w:tcPr>
            <w:tcW w:type="dxa" w:w="244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type="dxa" w:w="1050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type="dxa" w:w="184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-11 141,9</w:t>
            </w:r>
          </w:p>
        </w:tc>
      </w:tr>
      <w:tr>
        <w:trPr>
          <w:trHeight w:hRule="atLeast" w:val="257"/>
          <w:cantSplit w:val="false"/>
        </w:trPr>
        <w:tc>
          <w:tcPr>
            <w:tcW w:type="dxa" w:w="244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type="dxa" w:w="10500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type="dxa" w:w="184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11 141,9</w:t>
            </w:r>
          </w:p>
        </w:tc>
      </w:tr>
    </w:tbl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sectPr>
          <w:type w:val="nextPage"/>
          <w:pgSz w:h="11906" w:orient="landscape" w:w="16838"/>
          <w:pgMar w:bottom="567" w:footer="0" w:gutter="0" w:header="0" w:left="1134" w:right="1134" w:top="1134"/>
          <w:pgNumType w:fmt="decimal"/>
          <w:formProt w:val="false"/>
          <w:textDirection w:val="lrTb"/>
          <w:docGrid w:charSpace="4096" w:linePitch="360" w:type="default"/>
        </w:sectPr>
        <w:pStyle w:val="style0"/>
        <w:spacing w:after="0" w:before="0" w:line="100" w:lineRule="atLeas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0" w:before="0" w:line="100" w:lineRule="atLeast"/>
      </w:pPr>
      <w:r>
        <w:rPr/>
      </w:r>
    </w:p>
    <w:sectPr>
      <w:type w:val="nextPage"/>
      <w:pgSz w:h="16838" w:w="11906"/>
      <w:pgMar w:bottom="1134" w:footer="0" w:gutter="0" w:header="0" w:left="1134" w:right="567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lvl w:ilvl="0">
      <w:start w:val="1"/>
      <w:numFmt w:val="decimal"/>
      <w:lvlText w:val="%1."/>
      <w:lvlJc w:val="left"/>
      <w:pPr>
        <w:ind w:hanging="1020" w:left="10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180" w:left="1800"/>
      </w:pPr>
    </w:lvl>
    <w:lvl w:ilvl="3">
      <w:start w:val="1"/>
      <w:numFmt w:val="decimal"/>
      <w:lvlText w:val="%4."/>
      <w:lvlJc w:val="left"/>
      <w:pPr>
        <w:ind w:hanging="360" w:left="2520"/>
      </w:pPr>
    </w:lvl>
    <w:lvl w:ilvl="4">
      <w:start w:val="1"/>
      <w:numFmt w:val="lowerLetter"/>
      <w:lvlText w:val="%5."/>
      <w:lvlJc w:val="left"/>
      <w:pPr>
        <w:ind w:hanging="360" w:left="3240"/>
      </w:pPr>
    </w:lvl>
    <w:lvl w:ilvl="5">
      <w:start w:val="1"/>
      <w:numFmt w:val="lowerRoman"/>
      <w:lvlText w:val="%6."/>
      <w:lvlJc w:val="right"/>
      <w:pPr>
        <w:ind w:hanging="180" w:left="3960"/>
      </w:pPr>
    </w:lvl>
    <w:lvl w:ilvl="6">
      <w:start w:val="1"/>
      <w:numFmt w:val="decimal"/>
      <w:lvlText w:val="%7."/>
      <w:lvlJc w:val="left"/>
      <w:pPr>
        <w:ind w:hanging="360" w:left="4680"/>
      </w:pPr>
    </w:lvl>
    <w:lvl w:ilvl="7">
      <w:start w:val="1"/>
      <w:numFmt w:val="lowerLetter"/>
      <w:lvlText w:val="%8."/>
      <w:lvlJc w:val="left"/>
      <w:pPr>
        <w:ind w:hanging="360" w:left="5400"/>
      </w:pPr>
    </w:lvl>
    <w:lvl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Calibri" w:eastAsia="Arial Unicode MS" w:hAnsi="Calibri"/>
      <w:color w:val="auto"/>
      <w:sz w:val="22"/>
      <w:szCs w:val="22"/>
      <w:lang w:bidi="ar-SA" w:eastAsia="en-US" w:val="ru-RU"/>
    </w:rPr>
  </w:style>
  <w:style w:styleId="style2" w:type="paragraph">
    <w:name w:val="Заголовок 2"/>
    <w:basedOn w:val="style0"/>
    <w:next w:val="style21"/>
    <w:pPr>
      <w:keepNext/>
      <w:numPr>
        <w:ilvl w:val="1"/>
        <w:numId w:val="1"/>
      </w:numPr>
      <w:overflowPunct w:val="true"/>
      <w:spacing w:after="0" w:before="0" w:line="100" w:lineRule="atLeast"/>
      <w:jc w:val="center"/>
      <w:textAlignment w:val="baseline"/>
      <w:outlineLvl w:val="1"/>
    </w:pPr>
    <w:rPr>
      <w:rFonts w:ascii="Times New Roman" w:cs="Times New Roman" w:eastAsia="Times New Roman" w:hAnsi="Times New Roman"/>
      <w:b/>
      <w:bCs/>
      <w:sz w:val="44"/>
      <w:szCs w:val="20"/>
      <w:lang w:eastAsia="ru-RU"/>
    </w:rPr>
  </w:style>
  <w:style w:styleId="style15" w:type="character">
    <w:name w:val="Default Paragraph Font"/>
    <w:next w:val="style15"/>
    <w:rPr/>
  </w:style>
  <w:style w:styleId="style16" w:type="character">
    <w:name w:val="Заголовок 2 Знак"/>
    <w:basedOn w:val="style15"/>
    <w:next w:val="style16"/>
    <w:rPr>
      <w:rFonts w:ascii="Times New Roman" w:cs="Times New Roman" w:eastAsia="Times New Roman" w:hAnsi="Times New Roman"/>
      <w:b/>
      <w:bCs/>
      <w:sz w:val="44"/>
      <w:szCs w:val="20"/>
      <w:lang w:eastAsia="ru-RU"/>
    </w:rPr>
  </w:style>
  <w:style w:styleId="style17" w:type="character">
    <w:name w:val="Название Знак"/>
    <w:basedOn w:val="style15"/>
    <w:next w:val="style17"/>
    <w:rPr>
      <w:rFonts w:ascii="Times New Roman" w:cs="Times New Roman" w:eastAsia="Times New Roman" w:hAnsi="Times New Roman"/>
      <w:b/>
      <w:bCs/>
      <w:sz w:val="28"/>
      <w:szCs w:val="20"/>
      <w:lang w:eastAsia="ru-RU"/>
    </w:rPr>
  </w:style>
  <w:style w:styleId="style18" w:type="character">
    <w:name w:val="Основной текст Знак"/>
    <w:basedOn w:val="style15"/>
    <w:next w:val="style18"/>
    <w:rPr>
      <w:rFonts w:ascii="Times New Roman" w:cs="Times New Roman" w:eastAsia="Times New Roman" w:hAnsi="Times New Roman"/>
      <w:bCs/>
      <w:sz w:val="24"/>
      <w:szCs w:val="20"/>
      <w:lang w:eastAsia="ru-RU"/>
    </w:rPr>
  </w:style>
  <w:style w:styleId="style19" w:type="character">
    <w:name w:val="Подзаголовок Знак"/>
    <w:basedOn w:val="style15"/>
    <w:next w:val="style19"/>
    <w:rPr>
      <w:rFonts w:ascii="Times New Roman" w:cs="Times New Roman" w:eastAsia="Times New Roman" w:hAnsi="Times New Roman"/>
      <w:b/>
      <w:bCs/>
      <w:sz w:val="24"/>
      <w:szCs w:val="20"/>
      <w:lang w:eastAsia="ru-RU"/>
    </w:rPr>
  </w:style>
  <w:style w:styleId="style20" w:type="paragraph">
    <w:name w:val="Заголовок"/>
    <w:basedOn w:val="style0"/>
    <w:next w:val="style21"/>
    <w:pPr>
      <w:keepNext/>
      <w:spacing w:after="120" w:before="240"/>
    </w:pPr>
    <w:rPr>
      <w:rFonts w:ascii="Arial" w:cs="Mangal" w:eastAsia="Arial Unicode MS" w:hAnsi="Arial"/>
      <w:sz w:val="28"/>
      <w:szCs w:val="28"/>
    </w:rPr>
  </w:style>
  <w:style w:styleId="style21" w:type="paragraph">
    <w:name w:val="Основной текст"/>
    <w:basedOn w:val="style0"/>
    <w:next w:val="style21"/>
    <w:pPr>
      <w:overflowPunct w:val="true"/>
      <w:spacing w:after="0" w:before="0" w:line="100" w:lineRule="atLeast"/>
      <w:jc w:val="both"/>
      <w:textAlignment w:val="baseline"/>
    </w:pPr>
    <w:rPr>
      <w:rFonts w:ascii="Times New Roman" w:cs="Times New Roman" w:eastAsia="Times New Roman" w:hAnsi="Times New Roman"/>
      <w:bCs/>
      <w:sz w:val="24"/>
      <w:szCs w:val="20"/>
      <w:lang w:eastAsia="ru-RU"/>
    </w:rPr>
  </w:style>
  <w:style w:styleId="style22" w:type="paragraph">
    <w:name w:val="Список"/>
    <w:basedOn w:val="style21"/>
    <w:next w:val="style22"/>
    <w:pPr/>
    <w:rPr>
      <w:rFonts w:cs="Mangal"/>
    </w:rPr>
  </w:style>
  <w:style w:styleId="style23" w:type="paragraph">
    <w:name w:val="Название"/>
    <w:basedOn w:val="style0"/>
    <w:next w:val="style23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4" w:type="paragraph">
    <w:name w:val="Указатель"/>
    <w:basedOn w:val="style0"/>
    <w:next w:val="style24"/>
    <w:pPr>
      <w:suppressLineNumbers/>
    </w:pPr>
    <w:rPr>
      <w:rFonts w:cs="Mangal"/>
    </w:rPr>
  </w:style>
  <w:style w:styleId="style25" w:type="paragraph">
    <w:name w:val="Заглавие"/>
    <w:basedOn w:val="style0"/>
    <w:next w:val="style26"/>
    <w:pPr>
      <w:overflowPunct w:val="true"/>
      <w:spacing w:after="0" w:before="0" w:line="100" w:lineRule="atLeast"/>
      <w:jc w:val="center"/>
      <w:textAlignment w:val="baseline"/>
    </w:pPr>
    <w:rPr>
      <w:rFonts w:ascii="Times New Roman" w:cs="Times New Roman" w:eastAsia="Times New Roman" w:hAnsi="Times New Roman"/>
      <w:b/>
      <w:bCs/>
      <w:sz w:val="28"/>
      <w:szCs w:val="20"/>
      <w:lang w:eastAsia="ru-RU"/>
    </w:rPr>
  </w:style>
  <w:style w:styleId="style26" w:type="paragraph">
    <w:name w:val="Подзаголовок"/>
    <w:basedOn w:val="style0"/>
    <w:next w:val="style21"/>
    <w:pPr>
      <w:overflowPunct w:val="true"/>
      <w:spacing w:after="0" w:before="0" w:line="100" w:lineRule="atLeast"/>
      <w:jc w:val="center"/>
      <w:textAlignment w:val="baseline"/>
    </w:pPr>
    <w:rPr>
      <w:rFonts w:ascii="Times New Roman" w:cs="Times New Roman" w:eastAsia="Times New Roman" w:hAnsi="Times New Roman"/>
      <w:b/>
      <w:bCs/>
      <w:i/>
      <w:iCs/>
      <w:sz w:val="24"/>
      <w:szCs w:val="20"/>
      <w:lang w:eastAsia="ru-RU"/>
    </w:rPr>
  </w:style>
  <w:style w:styleId="style27" w:type="paragraph">
    <w:name w:val="No Spacing"/>
    <w:next w:val="style27"/>
    <w:pPr>
      <w:widowControl w:val="false"/>
      <w:tabs>
        <w:tab w:leader="none" w:pos="708" w:val="left"/>
      </w:tabs>
      <w:suppressAutoHyphens w:val="true"/>
      <w:spacing w:after="0" w:before="0" w:line="100" w:lineRule="atLeast"/>
    </w:pPr>
    <w:rPr>
      <w:rFonts w:ascii="Calibri" w:cs="font83" w:eastAsia="Lucida Sans Unicode" w:hAnsi="Calibri"/>
      <w:color w:val="auto"/>
      <w:sz w:val="22"/>
      <w:szCs w:val="22"/>
      <w:lang w:bidi="ar-SA" w:eastAsia="ar-SA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2012-12-04T10:26:00.00Z</dcterms:created>
  <dc:creator>Comp</dc:creator>
  <cp:lastModifiedBy>Comp</cp:lastModifiedBy>
  <cp:lastPrinted>2012-12-04T11:21:00.00Z</cp:lastPrinted>
  <dcterms:modified xsi:type="dcterms:W3CDTF">2012-12-04T11:26:00.00Z</dcterms:modified>
  <cp:revision>3</cp:revision>
</cp:coreProperties>
</file>